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spacing w:after="200" w:line="276" w:lineRule="auto"/>
        <w:rPr>
          <w:rFonts w:ascii="Avenir" w:cs="Avenir" w:eastAsia="Avenir" w:hAnsi="Avenir"/>
          <w:b w:val="1"/>
          <w:sz w:val="28"/>
          <w:szCs w:val="28"/>
        </w:rPr>
      </w:pPr>
      <w:r w:rsidDel="00000000" w:rsidR="00000000" w:rsidRPr="00000000">
        <w:rPr>
          <w:rFonts w:ascii="Avenir" w:cs="Avenir" w:eastAsia="Avenir" w:hAnsi="Avenir"/>
          <w:b w:val="1"/>
          <w:sz w:val="24"/>
          <w:szCs w:val="24"/>
          <w:rtl w:val="0"/>
        </w:rPr>
        <w:t xml:space="preserve">Press release:</w:t>
        <w:br w:type="textWrapping"/>
      </w:r>
      <w:r w:rsidDel="00000000" w:rsidR="00000000" w:rsidRPr="00000000">
        <w:rPr>
          <w:rFonts w:ascii="Avenir" w:cs="Avenir" w:eastAsia="Avenir" w:hAnsi="Avenir"/>
          <w:b w:val="1"/>
          <w:sz w:val="28"/>
          <w:szCs w:val="28"/>
          <w:rtl w:val="0"/>
        </w:rPr>
        <w:t xml:space="preserve">The Prin Banat Association continues the Common Heritage project and will launch Secession Catalogue </w:t>
      </w:r>
    </w:p>
    <w:p w:rsidR="00000000" w:rsidDel="00000000" w:rsidP="00000000" w:rsidRDefault="00000000" w:rsidRPr="00000000" w14:paraId="00000003">
      <w:pPr>
        <w:spacing w:after="200"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4">
      <w:pPr>
        <w:spacing w:after="200"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In 2023, the Prin Banat Association initiated the "Common Heritage - The Tale of Four Cities" project, within the Timișoara 2023 - European Capital of Culture programme. Through this project the Association explored and identified architectural elements of the common heritage of four European cities: Timișoara (Romania), Subotica (Serbia), Szeged (Hungary). and Odesa (Ukraine).</w:t>
      </w:r>
    </w:p>
    <w:p w:rsidR="00000000" w:rsidDel="00000000" w:rsidP="00000000" w:rsidRDefault="00000000" w:rsidRPr="00000000" w14:paraId="00000005">
      <w:pPr>
        <w:spacing w:after="200"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year, Common Heritage returns in a new format. Through the </w:t>
      </w:r>
      <w:r w:rsidDel="00000000" w:rsidR="00000000" w:rsidRPr="00000000">
        <w:rPr>
          <w:rFonts w:ascii="Avenir" w:cs="Avenir" w:eastAsia="Avenir" w:hAnsi="Avenir"/>
          <w:b w:val="1"/>
          <w:sz w:val="24"/>
          <w:szCs w:val="24"/>
          <w:rtl w:val="0"/>
        </w:rPr>
        <w:t xml:space="preserve">"Common Heritage - Secession Catalogue" </w:t>
      </w:r>
      <w:r w:rsidDel="00000000" w:rsidR="00000000" w:rsidRPr="00000000">
        <w:rPr>
          <w:rFonts w:ascii="Avenir" w:cs="Avenir" w:eastAsia="Avenir" w:hAnsi="Avenir"/>
          <w:sz w:val="24"/>
          <w:szCs w:val="24"/>
          <w:rtl w:val="0"/>
        </w:rPr>
        <w:t xml:space="preserve">project, the Association proposes the comparative research of the Secession heritage from the DKMT euroregion and to identify the common plastic elements shared by the cities of the euroregion, a spatial area shared today between the countries of Romania, Hungary and Serbia. As part of the project, the team will visit more than 15 cities in the mentioned countries, where they will photographically document the Secession ornamentation and identify archives that complement the in-situ research. In parallel, we will discover the local context of each city, in order to better understand the social, cultural and economic dynamics at the local level and to identify mutual influences at the level of the Euroregion, emphasising the dimension of shared common heritage.</w:t>
      </w:r>
    </w:p>
    <w:p w:rsidR="00000000" w:rsidDel="00000000" w:rsidP="00000000" w:rsidRDefault="00000000" w:rsidRPr="00000000" w14:paraId="00000006">
      <w:pPr>
        <w:spacing w:after="200"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Following the project, the Prin Banat Association will launch the Secession Catalog publication, with photos, illustrations and descriptive texts, and the online platform, which will function as an archive of all the buildings and decorative motifs identified within the project. Both the publication and the online platform are scheduled for launch in the fall of 2024.</w:t>
      </w:r>
    </w:p>
    <w:p w:rsidR="00000000" w:rsidDel="00000000" w:rsidP="00000000" w:rsidRDefault="00000000" w:rsidRPr="00000000" w14:paraId="00000007">
      <w:pPr>
        <w:spacing w:after="200"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w:t>
      </w:r>
      <w:r w:rsidDel="00000000" w:rsidR="00000000" w:rsidRPr="00000000">
        <w:rPr>
          <w:rFonts w:ascii="Avenir" w:cs="Avenir" w:eastAsia="Avenir" w:hAnsi="Avenir"/>
          <w:b w:val="1"/>
          <w:sz w:val="24"/>
          <w:szCs w:val="24"/>
          <w:rtl w:val="0"/>
        </w:rPr>
        <w:t xml:space="preserve">"Common Heritage - Secession Catalogue"</w:t>
      </w:r>
      <w:r w:rsidDel="00000000" w:rsidR="00000000" w:rsidRPr="00000000">
        <w:rPr>
          <w:rFonts w:ascii="Avenir" w:cs="Avenir" w:eastAsia="Avenir" w:hAnsi="Avenir"/>
          <w:sz w:val="24"/>
          <w:szCs w:val="24"/>
          <w:rtl w:val="0"/>
        </w:rPr>
        <w:t xml:space="preserve"> initiative comes as a response to the lack of archives and original documents related to buildings built at the beginning of the last century in Timișoara, but also in the entire western area, which leads to ineffective restoration projects. Thus, the project will become an extremely useful tool, both for the general public, in the promotion of architecture and built heritage, and for professionals, who will have a new tool of real use for the elaboration of specialised studies related to restoration and research processes. </w:t>
      </w:r>
    </w:p>
    <w:p w:rsidR="00000000" w:rsidDel="00000000" w:rsidP="00000000" w:rsidRDefault="00000000" w:rsidRPr="00000000" w14:paraId="00000008">
      <w:pPr>
        <w:spacing w:after="200"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To learn more about the "Common Heritage - Secession Catalogue" project and to follow the research process, we invite you to follow the </w:t>
      </w:r>
      <w:hyperlink r:id="rId6">
        <w:r w:rsidDel="00000000" w:rsidR="00000000" w:rsidRPr="00000000">
          <w:rPr>
            <w:rFonts w:ascii="Avenir" w:cs="Avenir" w:eastAsia="Avenir" w:hAnsi="Avenir"/>
            <w:color w:val="1155cc"/>
            <w:sz w:val="24"/>
            <w:szCs w:val="24"/>
            <w:u w:val="single"/>
            <w:rtl w:val="0"/>
          </w:rPr>
          <w:t xml:space="preserve">Heritage of Timișoara Facebook</w:t>
        </w:r>
      </w:hyperlink>
      <w:r w:rsidDel="00000000" w:rsidR="00000000" w:rsidRPr="00000000">
        <w:rPr>
          <w:rFonts w:ascii="Avenir" w:cs="Avenir" w:eastAsia="Avenir" w:hAnsi="Avenir"/>
          <w:sz w:val="24"/>
          <w:szCs w:val="24"/>
          <w:rtl w:val="0"/>
        </w:rPr>
        <w:t xml:space="preserve"> and </w:t>
      </w:r>
      <w:hyperlink r:id="rId7">
        <w:r w:rsidDel="00000000" w:rsidR="00000000" w:rsidRPr="00000000">
          <w:rPr>
            <w:rFonts w:ascii="Avenir" w:cs="Avenir" w:eastAsia="Avenir" w:hAnsi="Avenir"/>
            <w:color w:val="1155cc"/>
            <w:sz w:val="24"/>
            <w:szCs w:val="24"/>
            <w:u w:val="single"/>
            <w:rtl w:val="0"/>
          </w:rPr>
          <w:t xml:space="preserve">Instagram page</w:t>
        </w:r>
      </w:hyperlink>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09">
      <w:pPr>
        <w:spacing w:after="200"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Organised by the Prin Banat Association, the "Common Heritage - Secession Catalogue" project is supported by the Romanian Order of Architects, from the Architectural Stamp Duty. Partners: Romanian Order of Architects - Timiș Territorial Branch, Timiș County Directorate for Culture, National Heritage Institute Romania, Intermunicipal Institute for the Protection of Cultural Monuments Subotica (MZZSK Subotica), TourInform Szeged.</w:t>
      </w:r>
    </w:p>
    <w:p w:rsidR="00000000" w:rsidDel="00000000" w:rsidP="00000000" w:rsidRDefault="00000000" w:rsidRPr="00000000" w14:paraId="0000000A">
      <w:pPr>
        <w:spacing w:after="200"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B">
      <w:pPr>
        <w:spacing w:after="200" w:line="276" w:lineRule="auto"/>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0C">
      <w:pPr>
        <w:spacing w:after="200" w:line="276" w:lineRule="auto"/>
        <w:rPr>
          <w:rFonts w:ascii="Avenir" w:cs="Avenir" w:eastAsia="Avenir" w:hAnsi="Avenir"/>
        </w:rPr>
      </w:pPr>
      <w:r w:rsidDel="00000000" w:rsidR="00000000" w:rsidRPr="00000000">
        <w:rPr>
          <w:rFonts w:ascii="Avenir" w:cs="Avenir" w:eastAsia="Avenir" w:hAnsi="Avenir"/>
          <w:b w:val="1"/>
          <w:rtl w:val="0"/>
        </w:rPr>
        <w:t xml:space="preserve">Contact person:</w:t>
        <w:br w:type="textWrapping"/>
        <w:t xml:space="preserve">Diana CADUCENCO</w:t>
      </w:r>
      <w:r w:rsidDel="00000000" w:rsidR="00000000" w:rsidRPr="00000000">
        <w:rPr>
          <w:rFonts w:ascii="Avenir" w:cs="Avenir" w:eastAsia="Avenir" w:hAnsi="Avenir"/>
          <w:rtl w:val="0"/>
        </w:rPr>
        <w:br w:type="textWrapping"/>
        <w:t xml:space="preserve">Communication coordinator</w:t>
        <w:br w:type="textWrapping"/>
        <w:t xml:space="preserve">Tel. (+40) 749 384 026</w:t>
        <w:br w:type="textWrapping"/>
        <w:t xml:space="preserve">e-mail: </w:t>
      </w:r>
      <w:hyperlink r:id="rId8">
        <w:r w:rsidDel="00000000" w:rsidR="00000000" w:rsidRPr="00000000">
          <w:rPr>
            <w:rFonts w:ascii="Avenir" w:cs="Avenir" w:eastAsia="Avenir" w:hAnsi="Avenir"/>
            <w:color w:val="1155cc"/>
            <w:u w:val="single"/>
            <w:rtl w:val="0"/>
          </w:rPr>
          <w:t xml:space="preserve">contact@prinbanat.ro</w:t>
        </w:r>
      </w:hyperlink>
      <w:r w:rsidDel="00000000" w:rsidR="00000000" w:rsidRPr="00000000">
        <w:rPr>
          <w:rFonts w:ascii="Avenir" w:cs="Avenir" w:eastAsia="Avenir" w:hAnsi="Avenir"/>
          <w:rtl w:val="0"/>
        </w:rPr>
        <w:tab/>
        <w:br w:type="textWrapping"/>
        <w:t xml:space="preserve">Web: </w:t>
      </w:r>
      <w:hyperlink r:id="rId9">
        <w:r w:rsidDel="00000000" w:rsidR="00000000" w:rsidRPr="00000000">
          <w:rPr>
            <w:rFonts w:ascii="Avenir" w:cs="Avenir" w:eastAsia="Avenir" w:hAnsi="Avenir"/>
            <w:color w:val="1155cc"/>
            <w:u w:val="single"/>
            <w:rtl w:val="0"/>
          </w:rPr>
          <w:t xml:space="preserve">https://heritageoftimisoara.ro/</w:t>
        </w:r>
      </w:hyperlink>
      <w:r w:rsidDel="00000000" w:rsidR="00000000" w:rsidRPr="00000000">
        <w:rPr>
          <w:rFonts w:ascii="Avenir" w:cs="Avenir" w:eastAsia="Avenir" w:hAnsi="Avenir"/>
          <w:rtl w:val="0"/>
        </w:rPr>
        <w:t xml:space="preserve"> </w:t>
        <w:br w:type="textWrapping"/>
        <w:t xml:space="preserve">Facebook: </w:t>
      </w:r>
      <w:hyperlink r:id="rId10">
        <w:r w:rsidDel="00000000" w:rsidR="00000000" w:rsidRPr="00000000">
          <w:rPr>
            <w:rFonts w:ascii="Avenir" w:cs="Avenir" w:eastAsia="Avenir" w:hAnsi="Avenir"/>
            <w:color w:val="1155cc"/>
            <w:u w:val="single"/>
            <w:rtl w:val="0"/>
          </w:rPr>
          <w:t xml:space="preserve">https://www.facebook.com/heritageoftimisoara</w:t>
        </w:r>
      </w:hyperlink>
      <w:r w:rsidDel="00000000" w:rsidR="00000000" w:rsidRPr="00000000">
        <w:rPr>
          <w:rFonts w:ascii="Avenir" w:cs="Avenir" w:eastAsia="Avenir" w:hAnsi="Avenir"/>
          <w:rtl w:val="0"/>
        </w:rPr>
        <w:t xml:space="preserve"> </w:t>
        <w:br w:type="textWrapping"/>
        <w:t xml:space="preserve">Instagram: </w:t>
      </w:r>
      <w:hyperlink r:id="rId11">
        <w:r w:rsidDel="00000000" w:rsidR="00000000" w:rsidRPr="00000000">
          <w:rPr>
            <w:rFonts w:ascii="Avenir" w:cs="Avenir" w:eastAsia="Avenir" w:hAnsi="Avenir"/>
            <w:color w:val="1155cc"/>
            <w:u w:val="single"/>
            <w:rtl w:val="0"/>
          </w:rPr>
          <w:t xml:space="preserve">https://www.instagram.com/heritageoftimisoara/</w:t>
        </w:r>
      </w:hyperlink>
      <w:r w:rsidDel="00000000" w:rsidR="00000000" w:rsidRPr="00000000">
        <w:rPr>
          <w:rFonts w:ascii="Avenir" w:cs="Avenir" w:eastAsia="Avenir" w:hAnsi="Avenir"/>
          <w:rtl w:val="0"/>
        </w:rPr>
        <w:t xml:space="preserve"> </w:t>
      </w:r>
    </w:p>
    <w:p w:rsidR="00000000" w:rsidDel="00000000" w:rsidP="00000000" w:rsidRDefault="00000000" w:rsidRPr="00000000" w14:paraId="0000000D">
      <w:pPr>
        <w:rPr/>
      </w:pPr>
      <w:r w:rsidDel="00000000" w:rsidR="00000000" w:rsidRPr="00000000">
        <w:rPr>
          <w:rtl w:val="0"/>
        </w:rPr>
      </w:r>
    </w:p>
    <w:sectPr>
      <w:headerReference r:id="rId12" w:type="default"/>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114300" distT="114300" distL="114300" distR="114300">
          <wp:extent cx="847242" cy="523749"/>
          <wp:effectExtent b="0" l="0" r="0" t="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47242" cy="523749"/>
                  </a:xfrm>
                  <a:prstGeom prst="rect"/>
                  <a:ln/>
                </pic:spPr>
              </pic:pic>
            </a:graphicData>
          </a:graphic>
        </wp:inline>
      </w:drawing>
    </w:r>
    <w:r w:rsidDel="00000000" w:rsidR="00000000" w:rsidRPr="00000000">
      <w:rPr/>
      <w:drawing>
        <wp:inline distB="114300" distT="114300" distL="114300" distR="114300">
          <wp:extent cx="1233488" cy="518915"/>
          <wp:effectExtent b="0" l="0" r="0" t="0"/>
          <wp:docPr id="1"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233488" cy="51891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3426150</wp:posOffset>
          </wp:positionH>
          <wp:positionV relativeFrom="paragraph">
            <wp:posOffset>114300</wp:posOffset>
          </wp:positionV>
          <wp:extent cx="2300288" cy="701506"/>
          <wp:effectExtent b="0" l="0" r="0" t="0"/>
          <wp:wrapNone/>
          <wp:docPr id="3"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2300288" cy="701506"/>
                  </a:xfrm>
                  <a:prstGeom prst="rect"/>
                  <a:ln/>
                </pic:spPr>
              </pic:pic>
            </a:graphicData>
          </a:graphic>
        </wp:anchor>
      </w:drawing>
    </w:r>
  </w:p>
  <w:p w:rsidR="00000000" w:rsidDel="00000000" w:rsidP="00000000" w:rsidRDefault="00000000" w:rsidRPr="00000000" w14:paraId="0000001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center"/>
      <w:rPr/>
    </w:pPr>
    <w:r w:rsidDel="00000000" w:rsidR="00000000" w:rsidRPr="00000000">
      <w:rPr/>
      <w:drawing>
        <wp:inline distB="114300" distT="114300" distL="114300" distR="114300">
          <wp:extent cx="1423988" cy="1421622"/>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23988" cy="1421622"/>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heritageoftimisoara/" TargetMode="External"/><Relationship Id="rId10" Type="http://schemas.openxmlformats.org/officeDocument/2006/relationships/hyperlink" Target="https://www.facebook.com/heritageoftimisoara"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eritageoftimisoara.ro/" TargetMode="External"/><Relationship Id="rId5" Type="http://schemas.openxmlformats.org/officeDocument/2006/relationships/styles" Target="styles.xml"/><Relationship Id="rId6" Type="http://schemas.openxmlformats.org/officeDocument/2006/relationships/hyperlink" Target="https://www.facebook.com/heritageoftimisoara" TargetMode="External"/><Relationship Id="rId7" Type="http://schemas.openxmlformats.org/officeDocument/2006/relationships/hyperlink" Target="https://www.instagram.com/heritageoftimisoara/" TargetMode="External"/><Relationship Id="rId8" Type="http://schemas.openxmlformats.org/officeDocument/2006/relationships/hyperlink" Target="mailto:contact@prinbanat.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